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2586" w:rsidRDefault="00471A60">
      <w:pPr>
        <w:rPr>
          <w:rFonts w:ascii="Arial" w:eastAsia="Arial" w:hAnsi="Arial" w:cs="Arial"/>
          <w:b/>
          <w:sz w:val="36"/>
          <w:szCs w:val="36"/>
        </w:rPr>
      </w:pPr>
      <w:r>
        <w:rPr>
          <w:rFonts w:ascii="Arial" w:eastAsia="Arial" w:hAnsi="Arial" w:cs="Arial"/>
          <w:b/>
          <w:sz w:val="36"/>
          <w:szCs w:val="36"/>
        </w:rPr>
        <w:t>Framework Schedule 3 (Framework Prices)</w:t>
      </w:r>
    </w:p>
    <w:p w:rsidR="00E12586" w:rsidRDefault="00471A60">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E12586" w:rsidRDefault="00471A60">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rsidR="00E12586" w:rsidRDefault="00471A60">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E12586" w:rsidRDefault="00471A60">
      <w:pPr>
        <w:numPr>
          <w:ilvl w:val="0"/>
          <w:numId w:val="1"/>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such as:</w:t>
      </w:r>
    </w:p>
    <w:p w:rsidR="00E12586" w:rsidRDefault="00471A6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E12586" w:rsidRDefault="00471A6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E12586" w:rsidRDefault="00471A60">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will be fixed for the first Two (2)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lastRenderedPageBreak/>
        <w:t>The Supplier shall give CCS at least three (3) Months' notice in writing prior to a Review Date where it wants to request an increase.  If the Supplier does not give notice in time then it will only be able to request an increase prior to the next Review Date.</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E12586" w:rsidRDefault="00471A6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b/>
          <w:i/>
          <w:color w:val="000000"/>
          <w:sz w:val="24"/>
          <w:szCs w:val="24"/>
        </w:rPr>
      </w:pPr>
      <w:r>
        <w:rPr>
          <w:rFonts w:ascii="Arial" w:eastAsia="Arial" w:hAnsi="Arial" w:cs="Arial"/>
          <w:color w:val="000000"/>
          <w:sz w:val="24"/>
          <w:szCs w:val="24"/>
          <w:highlight w:val="white"/>
        </w:rPr>
        <w:t xml:space="preserve">a breakdown of the profit and cost components that comprise the relevant Framework Price; </w:t>
      </w:r>
    </w:p>
    <w:p w:rsidR="00E12586" w:rsidRDefault="00471A6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highlight w:val="white"/>
        </w:rPr>
        <w:t>details of the movement in the different identified cost components of the relevant Framework Price;</w:t>
      </w:r>
    </w:p>
    <w:p w:rsidR="00E12586" w:rsidRDefault="00471A6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highlight w:val="white"/>
        </w:rPr>
        <w:t>reasons for the movement in the different identified cost components of the relevant Framework Price;</w:t>
      </w:r>
    </w:p>
    <w:p w:rsidR="00E12586" w:rsidRDefault="00471A6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highlight w:val="white"/>
        </w:rPr>
        <w:t>evidence that the Supplier has attempted to mitigate against the increase in the relevant cost components; and</w:t>
      </w:r>
    </w:p>
    <w:p w:rsidR="00E12586" w:rsidRDefault="00471A6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r>
        <w:rPr>
          <w:rFonts w:ascii="Arial" w:eastAsia="Arial" w:hAnsi="Arial" w:cs="Arial"/>
          <w:sz w:val="24"/>
          <w:szCs w:val="24"/>
          <w:highlight w:val="white"/>
        </w:rPr>
        <w:t xml:space="preserve">evidence that the Supplier’s profit component of the </w:t>
      </w:r>
      <w:proofErr w:type="gramStart"/>
      <w:r>
        <w:rPr>
          <w:rFonts w:ascii="Arial" w:eastAsia="Arial" w:hAnsi="Arial" w:cs="Arial"/>
          <w:sz w:val="24"/>
          <w:szCs w:val="24"/>
          <w:highlight w:val="white"/>
        </w:rPr>
        <w:t>relevant  Framework</w:t>
      </w:r>
      <w:proofErr w:type="gramEnd"/>
      <w:r>
        <w:rPr>
          <w:rFonts w:ascii="Arial" w:eastAsia="Arial" w:hAnsi="Arial" w:cs="Arial"/>
          <w:sz w:val="24"/>
          <w:szCs w:val="24"/>
          <w:highlight w:val="white"/>
        </w:rPr>
        <w:t xml:space="preserve"> Price is no greater than that applying to Framework Prices using the same pricing mechanism as at the Contract Commencement Date.</w:t>
      </w:r>
    </w:p>
    <w:p w:rsidR="00E12586" w:rsidRDefault="00E12586">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white"/>
        </w:rPr>
      </w:pPr>
      <w:r>
        <w:rPr>
          <w:rFonts w:ascii="Arial" w:eastAsia="Arial" w:hAnsi="Arial" w:cs="Arial"/>
          <w:color w:val="000000"/>
          <w:sz w:val="24"/>
          <w:szCs w:val="24"/>
          <w:highlight w:val="white"/>
        </w:rPr>
        <w:t>CCS shall consider each request for a price increase.  CCS may grant Approval to an increase at its sole discretion.</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white"/>
        </w:rPr>
      </w:pPr>
      <w:r>
        <w:rPr>
          <w:rFonts w:ascii="Arial" w:eastAsia="Arial" w:hAnsi="Arial" w:cs="Arial"/>
          <w:color w:val="000000"/>
          <w:sz w:val="24"/>
          <w:szCs w:val="24"/>
          <w:highlight w:val="white"/>
        </w:rPr>
        <w:t>Where CCS approves an increase then it will be implemented from the first (1st) Working Day following the relevant Review Date or such later date as CCS may determine at its sole discretion and Annex 1 shall be updated accordingly.</w:t>
      </w:r>
    </w:p>
    <w:p w:rsidR="00E12586" w:rsidRDefault="00471A60">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indexation, where Annex 1 states that a particular Framework Price or any component is “subject to Indexation” in which event Paragraph 7 below shall apply.</w:t>
      </w:r>
    </w:p>
    <w:p w:rsidR="00E12586" w:rsidRDefault="00E12586">
      <w:pPr>
        <w:pBdr>
          <w:top w:val="nil"/>
          <w:left w:val="nil"/>
          <w:bottom w:val="nil"/>
          <w:right w:val="nil"/>
          <w:between w:val="nil"/>
        </w:pBdr>
        <w:tabs>
          <w:tab w:val="left" w:pos="1985"/>
          <w:tab w:val="left" w:pos="2127"/>
        </w:tabs>
        <w:spacing w:before="120" w:after="120" w:line="240" w:lineRule="auto"/>
        <w:ind w:left="644"/>
        <w:rPr>
          <w:rFonts w:ascii="Arial" w:eastAsia="Arial" w:hAnsi="Arial" w:cs="Arial"/>
          <w:sz w:val="24"/>
          <w:szCs w:val="24"/>
        </w:rPr>
      </w:pPr>
    </w:p>
    <w:p w:rsidR="00E12586" w:rsidRDefault="00471A6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highlight w:val="white"/>
        </w:rPr>
        <w:lastRenderedPageBreak/>
        <w:t>When the Framework Prices are linked to inflation</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w:t>
      </w:r>
      <w:r>
        <w:rPr>
          <w:rFonts w:ascii="Arial" w:eastAsia="Arial" w:hAnsi="Arial" w:cs="Arial"/>
          <w:color w:val="000000"/>
          <w:sz w:val="24"/>
          <w:szCs w:val="24"/>
          <w:highlight w:val="white"/>
        </w:rPr>
        <w:t>any amounts</w:t>
      </w:r>
      <w:r>
        <w:rPr>
          <w:rFonts w:ascii="Arial" w:eastAsia="Arial" w:hAnsi="Arial" w:cs="Arial"/>
          <w:sz w:val="24"/>
          <w:szCs w:val="24"/>
          <w:highlight w:val="white"/>
        </w:rPr>
        <w:t xml:space="preserve"> </w:t>
      </w:r>
      <w:r>
        <w:rPr>
          <w:rFonts w:ascii="Arial" w:eastAsia="Arial" w:hAnsi="Arial" w:cs="Arial"/>
          <w:color w:val="000000"/>
          <w:sz w:val="24"/>
          <w:szCs w:val="24"/>
          <w:highlight w:val="white"/>
        </w:rPr>
        <w:t xml:space="preserve">[the Framework Charges] </w:t>
      </w:r>
      <w:r>
        <w:rPr>
          <w:rFonts w:ascii="Arial" w:eastAsia="Arial" w:hAnsi="Arial" w:cs="Arial"/>
          <w:color w:val="000000"/>
          <w:sz w:val="24"/>
          <w:szCs w:val="24"/>
        </w:rPr>
        <w:t>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Framework Prices shall not be indexed during the first Two (2) years following the Framework Contract Commencement Date.  </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w:t>
      </w:r>
      <w:proofErr w:type="gramStart"/>
      <w:r>
        <w:rPr>
          <w:rFonts w:ascii="Arial" w:eastAsia="Arial" w:hAnsi="Arial" w:cs="Arial"/>
          <w:color w:val="000000"/>
          <w:sz w:val="24"/>
          <w:szCs w:val="24"/>
        </w:rPr>
        <w:t>Framework</w:t>
      </w:r>
      <w:proofErr w:type="gramEnd"/>
      <w:r>
        <w:rPr>
          <w:rFonts w:ascii="Arial" w:eastAsia="Arial" w:hAnsi="Arial" w:cs="Arial"/>
          <w:color w:val="000000"/>
          <w:sz w:val="24"/>
          <w:szCs w:val="24"/>
        </w:rPr>
        <w:t xml:space="preserve"> Price is subject to Indexation then it will be indexed on the date which is Tow (2) years after the Framework Commencement Date to reflect the percentage change in the CPI since the Framework Commencement Date.  They shall be indexed on each following yearly anniversary to reflect the percentage change in the CPI since the previous change.</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CPI Index:</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used to carry out an indexation calculation is updated (for example due to it being provisional) then the indexation calculation shall also be updated unless CPS and the Supplier agree otherwise; </w:t>
      </w:r>
    </w:p>
    <w:p w:rsidR="00E12586" w:rsidRDefault="00471A6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is no longer published, CCS and the Supplier shall agree a fair and reasonable replacement that will have substantially the same effect.]</w:t>
      </w:r>
    </w:p>
    <w:p w:rsidR="00E12586" w:rsidRDefault="00471A6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white"/>
        </w:rPr>
      </w:pPr>
      <w:r>
        <w:rPr>
          <w:rFonts w:ascii="Arial" w:eastAsia="Arial" w:hAnsi="Arial" w:cs="Arial"/>
          <w:b/>
          <w:color w:val="000000"/>
          <w:sz w:val="24"/>
          <w:szCs w:val="24"/>
          <w:highlight w:val="white"/>
        </w:rPr>
        <w:t>When you will be reimbursed for travel and subsistence</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E12586" w:rsidRDefault="00471A6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rsidR="00E12586" w:rsidRDefault="00471A6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E12586" w:rsidRDefault="00471A6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they are </w:t>
      </w:r>
      <w:r>
        <w:rPr>
          <w:rFonts w:ascii="Arial" w:eastAsia="Arial" w:hAnsi="Arial" w:cs="Arial"/>
          <w:sz w:val="24"/>
          <w:szCs w:val="24"/>
        </w:rPr>
        <w:t>Reimbursable</w:t>
      </w:r>
      <w:r>
        <w:rPr>
          <w:rFonts w:ascii="Arial" w:eastAsia="Arial" w:hAnsi="Arial" w:cs="Arial"/>
          <w:color w:val="000000"/>
          <w:sz w:val="24"/>
          <w:szCs w:val="24"/>
        </w:rPr>
        <w:t xml:space="preserve"> Expenses and are supported by Supporting Documentation.</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tyjcwt" w:colFirst="0" w:colLast="0"/>
      <w:bookmarkEnd w:id="4"/>
      <w:r>
        <w:rPr>
          <w:rFonts w:ascii="Arial" w:eastAsia="Arial" w:hAnsi="Arial" w:cs="Arial"/>
          <w:color w:val="000000"/>
          <w:sz w:val="24"/>
          <w:szCs w:val="24"/>
        </w:rPr>
        <w:t>For the purposes of paragraph 7.1 of this Schedule, a “</w:t>
      </w:r>
      <w:r>
        <w:rPr>
          <w:rFonts w:ascii="Arial" w:eastAsia="Arial" w:hAnsi="Arial" w:cs="Arial"/>
          <w:b/>
          <w:color w:val="000000"/>
          <w:sz w:val="24"/>
          <w:szCs w:val="24"/>
        </w:rPr>
        <w:t>Time and Materials pricing mechanism</w:t>
      </w:r>
      <w:r>
        <w:rPr>
          <w:rFonts w:ascii="Arial" w:eastAsia="Arial" w:hAnsi="Arial" w:cs="Arial"/>
          <w:color w:val="000000"/>
          <w:sz w:val="24"/>
          <w:szCs w:val="24"/>
        </w:rPr>
        <w:t xml:space="preserve">” means a pricing mechanism whereby the Buyer agrees to pay the Supplier based upon the work performed by the Supplier's Staff, and for materials used in the project, no matter how much work is required to complete the project. In the event that a Call-Off </w:t>
      </w:r>
      <w:r>
        <w:rPr>
          <w:rFonts w:ascii="Arial" w:eastAsia="Arial" w:hAnsi="Arial" w:cs="Arial"/>
          <w:sz w:val="24"/>
          <w:szCs w:val="24"/>
        </w:rPr>
        <w:t>Contract uses this pricing mechanism the price shall be based upon the prices detailed in Table 1 of Annex 1 to Framework Schedule 3.</w:t>
      </w:r>
    </w:p>
    <w:p w:rsidR="00E12586" w:rsidRDefault="00471A6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bookmarkStart w:id="5" w:name="_heading=h.3dy6vkm" w:colFirst="0" w:colLast="0"/>
      <w:bookmarkEnd w:id="5"/>
      <w:r>
        <w:rPr>
          <w:rFonts w:ascii="Arial" w:eastAsia="Arial" w:hAnsi="Arial" w:cs="Arial"/>
          <w:sz w:val="24"/>
          <w:szCs w:val="24"/>
        </w:rPr>
        <w:t>The Buyer shall provide a copy of their current expenses policy to the Supplier upon request.</w:t>
      </w:r>
    </w:p>
    <w:p w:rsidR="00E12586" w:rsidRDefault="00E12586">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rsidR="00E12586" w:rsidRDefault="00E12586">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E12586" w:rsidRDefault="00471A60">
      <w:pPr>
        <w:rPr>
          <w:rFonts w:ascii="Arial" w:eastAsia="Arial" w:hAnsi="Arial" w:cs="Arial"/>
          <w:b/>
          <w:sz w:val="36"/>
          <w:szCs w:val="36"/>
        </w:rPr>
      </w:pPr>
      <w:bookmarkStart w:id="6" w:name="_heading=h.1t3h5sf" w:colFirst="0" w:colLast="0"/>
      <w:bookmarkEnd w:id="6"/>
      <w:r>
        <w:br w:type="page"/>
      </w:r>
      <w:r>
        <w:rPr>
          <w:rFonts w:ascii="Arial" w:eastAsia="Arial" w:hAnsi="Arial" w:cs="Arial"/>
          <w:b/>
          <w:sz w:val="36"/>
          <w:szCs w:val="36"/>
        </w:rPr>
        <w:lastRenderedPageBreak/>
        <w:t>Annex 1: Rates and Prices</w:t>
      </w:r>
    </w:p>
    <w:p w:rsidR="00E12586" w:rsidRDefault="00471A60">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E12586" w:rsidRDefault="00471A60">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rsidR="00E12586" w:rsidRDefault="00471A60">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i/>
          <w:color w:val="000000"/>
          <w:sz w:val="24"/>
          <w:szCs w:val="24"/>
        </w:rPr>
        <w:t>The rates below shall [not] be subject to variation by way of Indexation</w:t>
      </w:r>
    </w:p>
    <w:tbl>
      <w:tblPr>
        <w:tblStyle w:val="a"/>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4566"/>
      </w:tblGrid>
      <w:tr w:rsidR="00E12586">
        <w:tc>
          <w:tcPr>
            <w:tcW w:w="4450" w:type="dxa"/>
            <w:shd w:val="clear" w:color="auto" w:fill="548DD4"/>
          </w:tcPr>
          <w:p w:rsidR="00E12586" w:rsidRDefault="00471A60">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6" w:type="dxa"/>
            <w:shd w:val="clear" w:color="auto" w:fill="548DD4"/>
          </w:tcPr>
          <w:p w:rsidR="00E12586" w:rsidRDefault="00471A60">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Day Rate (£)</w:t>
            </w:r>
          </w:p>
        </w:tc>
      </w:tr>
      <w:tr w:rsidR="00E12586">
        <w:tc>
          <w:tcPr>
            <w:tcW w:w="4450" w:type="dxa"/>
          </w:tcPr>
          <w:p w:rsidR="00E12586" w:rsidRDefault="00E12586">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4566" w:type="dxa"/>
          </w:tcPr>
          <w:p w:rsidR="00E12586" w:rsidRDefault="00E12586">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E12586">
        <w:tc>
          <w:tcPr>
            <w:tcW w:w="4450" w:type="dxa"/>
          </w:tcPr>
          <w:p w:rsidR="00E12586" w:rsidRDefault="00E12586">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4566" w:type="dxa"/>
          </w:tcPr>
          <w:p w:rsidR="00E12586" w:rsidRDefault="00E12586">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bl>
    <w:p w:rsidR="00E12586" w:rsidRDefault="00471A60">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Fixed Prices</w:t>
      </w:r>
    </w:p>
    <w:p w:rsidR="00E12586" w:rsidRDefault="00471A60">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0"/>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E12586">
        <w:tc>
          <w:tcPr>
            <w:tcW w:w="4508" w:type="dxa"/>
            <w:shd w:val="clear" w:color="auto" w:fill="548DD4"/>
          </w:tcPr>
          <w:p w:rsidR="00E12586" w:rsidRDefault="00471A60">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Framework Price</w:t>
            </w:r>
          </w:p>
        </w:tc>
        <w:tc>
          <w:tcPr>
            <w:tcW w:w="4508" w:type="dxa"/>
            <w:shd w:val="clear" w:color="auto" w:fill="548DD4"/>
          </w:tcPr>
          <w:p w:rsidR="00E12586" w:rsidRDefault="00471A60">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Fixed Framework Price (£)</w:t>
            </w:r>
          </w:p>
        </w:tc>
      </w:tr>
      <w:tr w:rsidR="00E12586">
        <w:tc>
          <w:tcPr>
            <w:tcW w:w="4508" w:type="dxa"/>
          </w:tcPr>
          <w:p w:rsidR="00E12586" w:rsidRDefault="00E12586">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p>
        </w:tc>
        <w:tc>
          <w:tcPr>
            <w:tcW w:w="4508" w:type="dxa"/>
            <w:shd w:val="clear" w:color="auto" w:fill="FFFFFF"/>
          </w:tcPr>
          <w:p w:rsidR="00E12586" w:rsidRDefault="00E12586">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E12586">
        <w:tc>
          <w:tcPr>
            <w:tcW w:w="4508" w:type="dxa"/>
          </w:tcPr>
          <w:p w:rsidR="00E12586" w:rsidRDefault="00E12586">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p>
        </w:tc>
        <w:tc>
          <w:tcPr>
            <w:tcW w:w="4508" w:type="dxa"/>
            <w:shd w:val="clear" w:color="auto" w:fill="FFFFFF"/>
          </w:tcPr>
          <w:p w:rsidR="00E12586" w:rsidRDefault="00E12586">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bl>
    <w:p w:rsidR="00E12586" w:rsidRDefault="00E12586">
      <w:pPr>
        <w:rPr>
          <w:rFonts w:ascii="Arial" w:eastAsia="Arial" w:hAnsi="Arial" w:cs="Arial"/>
          <w:b/>
          <w:smallCaps/>
          <w:sz w:val="24"/>
          <w:szCs w:val="24"/>
        </w:rPr>
      </w:pPr>
      <w:bookmarkStart w:id="7" w:name="_heading=h.4d34og8" w:colFirst="0" w:colLast="0"/>
      <w:bookmarkEnd w:id="7"/>
    </w:p>
    <w:p w:rsidR="00E12586" w:rsidRDefault="00471A60">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3: Volume Based Prices</w:t>
      </w:r>
    </w:p>
    <w:p w:rsidR="00E12586" w:rsidRDefault="00471A60">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1"/>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E12586">
        <w:tc>
          <w:tcPr>
            <w:tcW w:w="2254" w:type="dxa"/>
            <w:shd w:val="clear" w:color="auto" w:fill="548DD4"/>
          </w:tcPr>
          <w:p w:rsidR="00E12586" w:rsidRDefault="00471A60">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Framework Price Number</w:t>
            </w:r>
          </w:p>
        </w:tc>
        <w:tc>
          <w:tcPr>
            <w:tcW w:w="2254" w:type="dxa"/>
            <w:shd w:val="clear" w:color="auto" w:fill="548DD4"/>
          </w:tcPr>
          <w:p w:rsidR="00E12586" w:rsidRDefault="00471A60">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rsidR="00E12586" w:rsidRDefault="00471A60">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rsidR="00E12586" w:rsidRDefault="00471A60">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Charge per unit (£)</w:t>
            </w:r>
          </w:p>
        </w:tc>
      </w:tr>
      <w:tr w:rsidR="00E12586">
        <w:tc>
          <w:tcPr>
            <w:tcW w:w="2254" w:type="dxa"/>
            <w:vMerge w:val="restart"/>
          </w:tcPr>
          <w:p w:rsidR="00E12586" w:rsidRDefault="00E12586">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p>
        </w:tc>
        <w:tc>
          <w:tcPr>
            <w:tcW w:w="2254" w:type="dxa"/>
            <w:vMerge w:val="restart"/>
          </w:tcPr>
          <w:p w:rsidR="00E12586" w:rsidRDefault="00E12586">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2254" w:type="dxa"/>
          </w:tcPr>
          <w:p w:rsidR="00E12586" w:rsidRDefault="00471A60">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E12586" w:rsidRDefault="00471A60">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r w:rsidR="00E12586">
        <w:trPr>
          <w:trHeight w:val="701"/>
        </w:trPr>
        <w:tc>
          <w:tcPr>
            <w:tcW w:w="2254" w:type="dxa"/>
            <w:vMerge/>
          </w:tcPr>
          <w:p w:rsidR="00E12586" w:rsidRDefault="00E12586">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vMerge/>
          </w:tcPr>
          <w:p w:rsidR="00E12586" w:rsidRDefault="00E12586">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tcPr>
          <w:p w:rsidR="00E12586" w:rsidRDefault="00471A60">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E12586" w:rsidRDefault="00471A60">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r w:rsidR="00E12586">
        <w:tc>
          <w:tcPr>
            <w:tcW w:w="2254" w:type="dxa"/>
            <w:vMerge w:val="restart"/>
          </w:tcPr>
          <w:p w:rsidR="00E12586" w:rsidRDefault="00E12586">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p>
        </w:tc>
        <w:tc>
          <w:tcPr>
            <w:tcW w:w="2254" w:type="dxa"/>
            <w:vMerge w:val="restart"/>
          </w:tcPr>
          <w:p w:rsidR="00E12586" w:rsidRDefault="00E12586">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2254" w:type="dxa"/>
          </w:tcPr>
          <w:p w:rsidR="00E12586" w:rsidRDefault="00471A60">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E12586" w:rsidRDefault="00471A60">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r w:rsidR="00E12586">
        <w:tc>
          <w:tcPr>
            <w:tcW w:w="2254" w:type="dxa"/>
            <w:vMerge/>
          </w:tcPr>
          <w:p w:rsidR="00E12586" w:rsidRDefault="00E12586">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vMerge/>
          </w:tcPr>
          <w:p w:rsidR="00E12586" w:rsidRDefault="00E12586">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tcPr>
          <w:p w:rsidR="00E12586" w:rsidRDefault="00471A60">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E12586" w:rsidRDefault="00471A60">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bl>
    <w:p w:rsidR="00E12586" w:rsidRDefault="00E12586">
      <w:pPr>
        <w:rPr>
          <w:rFonts w:ascii="Arial" w:eastAsia="Arial" w:hAnsi="Arial" w:cs="Arial"/>
          <w:b/>
          <w:sz w:val="24"/>
          <w:szCs w:val="24"/>
        </w:rPr>
        <w:sectPr w:rsidR="00E12586">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p>
    <w:p w:rsidR="00E12586" w:rsidRDefault="002445B9" w:rsidP="002445B9">
      <w:pPr>
        <w:rPr>
          <w:rFonts w:ascii="Arial" w:eastAsia="Arial" w:hAnsi="Arial" w:cs="Arial"/>
          <w:b/>
          <w:sz w:val="24"/>
          <w:szCs w:val="24"/>
        </w:rPr>
      </w:pPr>
      <w:r>
        <w:rPr>
          <w:rFonts w:ascii="Arial" w:eastAsia="Arial" w:hAnsi="Arial" w:cs="Arial"/>
          <w:b/>
        </w:rPr>
        <w:lastRenderedPageBreak/>
        <w:t>Redacted under FOIA</w:t>
      </w:r>
      <w:bookmarkStart w:id="8" w:name="_GoBack"/>
      <w:bookmarkEnd w:id="8"/>
      <w:r>
        <w:rPr>
          <w:rFonts w:ascii="Arial" w:eastAsia="Arial" w:hAnsi="Arial" w:cs="Arial"/>
          <w:b/>
        </w:rPr>
        <w:t xml:space="preserve"> section 43, Commercial I</w:t>
      </w:r>
      <w:r w:rsidRPr="00F21FAA">
        <w:rPr>
          <w:rFonts w:ascii="Arial" w:eastAsia="Arial" w:hAnsi="Arial" w:cs="Arial"/>
          <w:b/>
        </w:rPr>
        <w:t>nterests</w:t>
      </w:r>
    </w:p>
    <w:sectPr w:rsidR="00E12586">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6A8" w:rsidRDefault="004936A8">
      <w:pPr>
        <w:spacing w:after="0" w:line="240" w:lineRule="auto"/>
      </w:pPr>
      <w:r>
        <w:separator/>
      </w:r>
    </w:p>
  </w:endnote>
  <w:endnote w:type="continuationSeparator" w:id="0">
    <w:p w:rsidR="004936A8" w:rsidRDefault="00493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2586" w:rsidRDefault="00471A6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RM6273 Employee Benefits and Services</w:t>
    </w:r>
    <w:r>
      <w:rPr>
        <w:rFonts w:ascii="Arial" w:eastAsia="Arial" w:hAnsi="Arial" w:cs="Arial"/>
        <w:sz w:val="20"/>
        <w:szCs w:val="20"/>
      </w:rPr>
      <w:tab/>
      <w:t xml:space="preserve">                                           </w:t>
    </w:r>
  </w:p>
  <w:p w:rsidR="00E12586" w:rsidRDefault="00471A6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F04C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12586" w:rsidRDefault="00471A6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2586" w:rsidRDefault="00471A60">
    <w:pPr>
      <w:tabs>
        <w:tab w:val="center" w:pos="4513"/>
        <w:tab w:val="right" w:pos="9026"/>
      </w:tabs>
      <w:spacing w:after="0"/>
    </w:pPr>
    <w:r>
      <w:t>Framework Ref: RM</w:t>
    </w:r>
    <w:r>
      <w:tab/>
      <w:t xml:space="preserve">                                           </w:t>
    </w:r>
  </w:p>
  <w:p w:rsidR="00E12586" w:rsidRDefault="00471A6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E12586" w:rsidRDefault="00471A6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6A8" w:rsidRDefault="004936A8">
      <w:pPr>
        <w:spacing w:after="0" w:line="240" w:lineRule="auto"/>
      </w:pPr>
      <w:r>
        <w:separator/>
      </w:r>
    </w:p>
  </w:footnote>
  <w:footnote w:type="continuationSeparator" w:id="0">
    <w:p w:rsidR="004936A8" w:rsidRDefault="004936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2586" w:rsidRDefault="00471A6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E12586" w:rsidRDefault="00471A6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2586" w:rsidRDefault="00471A6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E12586" w:rsidRDefault="00471A6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76E9A"/>
    <w:multiLevelType w:val="multilevel"/>
    <w:tmpl w:val="8E3C105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5AC1A46"/>
    <w:multiLevelType w:val="multilevel"/>
    <w:tmpl w:val="5C7C9378"/>
    <w:lvl w:ilvl="0">
      <w:start w:val="1"/>
      <w:numFmt w:val="decimal"/>
      <w:pStyle w:val="GPSL1CLAUSEHEADING"/>
      <w:lvlText w:val="%1."/>
      <w:lvlJc w:val="left"/>
      <w:pPr>
        <w:ind w:left="360" w:hanging="360"/>
      </w:pPr>
      <w:rPr>
        <w:smallCaps w:val="0"/>
        <w:strike w:val="0"/>
        <w:color w:val="000000"/>
        <w:u w:val="none"/>
        <w:shd w:val="clear" w:color="auto" w:fill="auto"/>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highlight w:val="white"/>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586"/>
    <w:rsid w:val="002445B9"/>
    <w:rsid w:val="00471A60"/>
    <w:rsid w:val="004936A8"/>
    <w:rsid w:val="007F04C2"/>
    <w:rsid w:val="00E125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965CCE-668E-4BA7-B248-F78A6D18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6XCSVUxtVAUYOBff2sa5P23453g==">AMUW2mUm6O/5EixGfbp/ao5NHpVNvZdBD2VuipA9l12Yq/m5vagscNSRqnJcaKKapqQwVHGWse6M/ERgeONmigHaDqE+JigzEGBbADuRltyVgUBY173eDaEKoefoAUzCTqhR5mRPybFaMBh9e7rlGrI4Qv4UhUQU3K/x7qtM/EE+SQasX6hV3m9ZWKGNVAOuxIy+XXhqEZAixWfaRMeCqpruSs+fLI+DmxD54mrM/0sn0nMJ9j8ga6M=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1073</Words>
  <Characters>6120</Characters>
  <Application>Microsoft Office Word</Application>
  <DocSecurity>0</DocSecurity>
  <Lines>51</Lines>
  <Paragraphs>14</Paragraphs>
  <ScaleCrop>false</ScaleCrop>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Pollentine</cp:lastModifiedBy>
  <cp:revision>3</cp:revision>
  <dcterms:created xsi:type="dcterms:W3CDTF">2018-06-14T15:09:00Z</dcterms:created>
  <dcterms:modified xsi:type="dcterms:W3CDTF">2023-05-31T09:53:00Z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